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7C" w:rsidRDefault="0010347C" w:rsidP="0010347C">
      <w:pPr>
        <w:jc w:val="right"/>
        <w:rPr>
          <w:rFonts w:eastAsia="Calibri"/>
          <w:b/>
          <w:noProof/>
          <w:sz w:val="28"/>
          <w:szCs w:val="28"/>
        </w:rPr>
      </w:pPr>
    </w:p>
    <w:p w:rsidR="0010347C" w:rsidRDefault="0010347C" w:rsidP="0010347C">
      <w:pPr>
        <w:jc w:val="center"/>
        <w:rPr>
          <w:rFonts w:eastAsia="Calibri"/>
          <w:b/>
          <w:sz w:val="28"/>
          <w:szCs w:val="28"/>
        </w:rPr>
      </w:pPr>
      <w:r>
        <w:rPr>
          <w:rFonts w:eastAsia="Calibri"/>
          <w:b/>
          <w:sz w:val="28"/>
          <w:szCs w:val="28"/>
        </w:rPr>
        <w:t>СВИРЬСТРОЙСКОЕ ГОРОДСКОЕ ПОСЕЛЕНИЕ</w:t>
      </w:r>
      <w:r>
        <w:rPr>
          <w:rFonts w:eastAsia="Calibri"/>
          <w:b/>
          <w:sz w:val="28"/>
          <w:szCs w:val="28"/>
        </w:rPr>
        <w:br/>
        <w:t>ЛОДЕЙНОПОЛЬСКОГО МУНИЦИПАЛЬНОГО РАЙОНА</w:t>
      </w:r>
    </w:p>
    <w:p w:rsidR="0010347C" w:rsidRDefault="0010347C" w:rsidP="0010347C">
      <w:pPr>
        <w:jc w:val="center"/>
        <w:rPr>
          <w:rFonts w:eastAsia="Calibri"/>
          <w:b/>
          <w:sz w:val="28"/>
          <w:szCs w:val="28"/>
        </w:rPr>
      </w:pPr>
      <w:r>
        <w:rPr>
          <w:rFonts w:eastAsia="Calibri"/>
          <w:b/>
          <w:sz w:val="28"/>
          <w:szCs w:val="28"/>
        </w:rPr>
        <w:t>ЛЕНИНГРАДСКОЙ ОБЛАСТИ</w:t>
      </w:r>
    </w:p>
    <w:p w:rsidR="0010347C" w:rsidRDefault="0010347C" w:rsidP="0010347C">
      <w:pPr>
        <w:jc w:val="center"/>
        <w:rPr>
          <w:rFonts w:eastAsia="Calibri"/>
          <w:b/>
          <w:sz w:val="28"/>
          <w:szCs w:val="28"/>
        </w:rPr>
      </w:pPr>
    </w:p>
    <w:p w:rsidR="0010347C" w:rsidRDefault="0010347C" w:rsidP="0010347C">
      <w:pPr>
        <w:jc w:val="center"/>
        <w:rPr>
          <w:rFonts w:eastAsia="Calibri"/>
          <w:b/>
          <w:sz w:val="28"/>
          <w:szCs w:val="28"/>
        </w:rPr>
      </w:pPr>
      <w:r>
        <w:rPr>
          <w:rFonts w:eastAsia="Calibri"/>
          <w:b/>
          <w:sz w:val="28"/>
          <w:szCs w:val="28"/>
        </w:rPr>
        <w:t>СОВЕТ ДЕПУТАТОВ</w:t>
      </w:r>
    </w:p>
    <w:p w:rsidR="0010347C" w:rsidRDefault="0010347C" w:rsidP="0010347C">
      <w:pPr>
        <w:jc w:val="center"/>
        <w:rPr>
          <w:rFonts w:eastAsia="Calibri"/>
          <w:b/>
          <w:sz w:val="28"/>
          <w:szCs w:val="28"/>
        </w:rPr>
      </w:pPr>
    </w:p>
    <w:p w:rsidR="0010347C" w:rsidRDefault="0010347C" w:rsidP="0010347C">
      <w:pPr>
        <w:jc w:val="center"/>
        <w:rPr>
          <w:rFonts w:eastAsia="Calibri"/>
          <w:b/>
          <w:sz w:val="28"/>
          <w:szCs w:val="28"/>
        </w:rPr>
      </w:pPr>
      <w:r>
        <w:rPr>
          <w:rFonts w:eastAsia="Calibri"/>
          <w:b/>
          <w:sz w:val="28"/>
          <w:szCs w:val="28"/>
        </w:rPr>
        <w:t>(девятнадцатое (очередное) заседание четвёртого созыва)</w:t>
      </w:r>
    </w:p>
    <w:p w:rsidR="0010347C" w:rsidRDefault="0010347C" w:rsidP="0010347C">
      <w:pPr>
        <w:jc w:val="center"/>
        <w:rPr>
          <w:rFonts w:eastAsia="Calibri"/>
          <w:b/>
          <w:sz w:val="28"/>
          <w:szCs w:val="28"/>
        </w:rPr>
      </w:pPr>
    </w:p>
    <w:p w:rsidR="0010347C" w:rsidRDefault="0010347C" w:rsidP="0010347C">
      <w:pPr>
        <w:jc w:val="center"/>
        <w:rPr>
          <w:rFonts w:eastAsia="Calibri"/>
          <w:b/>
          <w:sz w:val="28"/>
          <w:szCs w:val="28"/>
        </w:rPr>
      </w:pPr>
      <w:proofErr w:type="gramStart"/>
      <w:r>
        <w:rPr>
          <w:rFonts w:eastAsia="Calibri"/>
          <w:b/>
          <w:sz w:val="28"/>
          <w:szCs w:val="28"/>
        </w:rPr>
        <w:t>Р</w:t>
      </w:r>
      <w:proofErr w:type="gramEnd"/>
      <w:r>
        <w:rPr>
          <w:rFonts w:eastAsia="Calibri"/>
          <w:b/>
          <w:sz w:val="28"/>
          <w:szCs w:val="28"/>
        </w:rPr>
        <w:t xml:space="preserve"> Е Ш Е Н И Е</w:t>
      </w:r>
    </w:p>
    <w:p w:rsidR="0010347C" w:rsidRDefault="0010347C" w:rsidP="0010347C">
      <w:pPr>
        <w:jc w:val="center"/>
        <w:rPr>
          <w:rFonts w:eastAsia="Calibri"/>
          <w:b/>
          <w:sz w:val="28"/>
          <w:szCs w:val="28"/>
        </w:rPr>
      </w:pPr>
    </w:p>
    <w:tbl>
      <w:tblPr>
        <w:tblW w:w="0" w:type="auto"/>
        <w:tblLook w:val="01E0"/>
      </w:tblPr>
      <w:tblGrid>
        <w:gridCol w:w="2660"/>
        <w:gridCol w:w="6911"/>
      </w:tblGrid>
      <w:tr w:rsidR="0010347C" w:rsidTr="0010347C">
        <w:tc>
          <w:tcPr>
            <w:tcW w:w="2660" w:type="dxa"/>
            <w:hideMark/>
          </w:tcPr>
          <w:p w:rsidR="0010347C" w:rsidRDefault="0010347C">
            <w:pPr>
              <w:spacing w:line="276" w:lineRule="auto"/>
              <w:rPr>
                <w:rFonts w:eastAsia="Times New Roman"/>
                <w:sz w:val="28"/>
                <w:szCs w:val="28"/>
                <w:lang w:eastAsia="en-US"/>
              </w:rPr>
            </w:pPr>
            <w:r>
              <w:rPr>
                <w:rFonts w:eastAsia="Calibri"/>
                <w:sz w:val="28"/>
                <w:szCs w:val="28"/>
                <w:lang w:eastAsia="en-US"/>
              </w:rPr>
              <w:t>23.09.2021 года</w:t>
            </w:r>
          </w:p>
        </w:tc>
        <w:tc>
          <w:tcPr>
            <w:tcW w:w="6911" w:type="dxa"/>
            <w:hideMark/>
          </w:tcPr>
          <w:p w:rsidR="0010347C" w:rsidRDefault="0010347C" w:rsidP="0010347C">
            <w:pPr>
              <w:spacing w:line="276" w:lineRule="auto"/>
              <w:rPr>
                <w:rFonts w:eastAsia="Times New Roman"/>
                <w:sz w:val="28"/>
                <w:szCs w:val="28"/>
                <w:lang w:eastAsia="en-US"/>
              </w:rPr>
            </w:pPr>
            <w:r>
              <w:rPr>
                <w:rFonts w:eastAsia="Calibri"/>
                <w:sz w:val="28"/>
                <w:szCs w:val="28"/>
                <w:lang w:eastAsia="en-US"/>
              </w:rPr>
              <w:t>№ 90</w:t>
            </w:r>
          </w:p>
        </w:tc>
      </w:tr>
    </w:tbl>
    <w:p w:rsidR="0010347C" w:rsidRDefault="0010347C" w:rsidP="0010347C">
      <w:pPr>
        <w:pStyle w:val="s9"/>
        <w:spacing w:before="0" w:beforeAutospacing="0" w:after="0" w:afterAutospacing="0"/>
        <w:jc w:val="both"/>
        <w:rPr>
          <w:rFonts w:eastAsia="Calibri"/>
          <w:iCs/>
          <w:sz w:val="28"/>
          <w:szCs w:val="28"/>
        </w:rPr>
      </w:pPr>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0010347C">
        <w:rPr>
          <w:rFonts w:eastAsia="Calibri"/>
          <w:sz w:val="28"/>
          <w:szCs w:val="28"/>
        </w:rPr>
        <w:t xml:space="preserve"> Свирьстройского городского поселения</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10347C">
        <w:rPr>
          <w:rStyle w:val="bumpedfont15"/>
          <w:sz w:val="28"/>
          <w:szCs w:val="28"/>
        </w:rPr>
        <w:t>у</w:t>
      </w:r>
      <w:r w:rsidRPr="00740A3D">
        <w:rPr>
          <w:rFonts w:eastAsia="Calibri"/>
          <w:sz w:val="28"/>
          <w:szCs w:val="28"/>
        </w:rPr>
        <w:t xml:space="preserve">ставом </w:t>
      </w:r>
      <w:r w:rsidR="0010347C">
        <w:rPr>
          <w:rFonts w:eastAsia="Calibri"/>
          <w:sz w:val="28"/>
          <w:szCs w:val="28"/>
        </w:rPr>
        <w:t xml:space="preserve"> Свирьстройского городского поселения</w:t>
      </w:r>
      <w:r w:rsidRPr="00740A3D">
        <w:rPr>
          <w:rFonts w:eastAsia="Calibri"/>
          <w:sz w:val="28"/>
          <w:szCs w:val="28"/>
        </w:rPr>
        <w:t>, совет</w:t>
      </w:r>
      <w:proofErr w:type="gramEnd"/>
      <w:r w:rsidRPr="00740A3D">
        <w:rPr>
          <w:rFonts w:eastAsia="Calibri"/>
          <w:sz w:val="28"/>
          <w:szCs w:val="28"/>
        </w:rPr>
        <w:t xml:space="preserve"> депутатов </w:t>
      </w:r>
      <w:r w:rsidR="0010347C">
        <w:rPr>
          <w:rFonts w:eastAsia="Calibri"/>
          <w:sz w:val="28"/>
          <w:szCs w:val="28"/>
        </w:rPr>
        <w:t>Свирьстройского городского поселения</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10347C">
        <w:rPr>
          <w:rFonts w:eastAsia="SimSun" w:cs="Mangal"/>
          <w:bCs/>
          <w:kern w:val="28"/>
          <w:sz w:val="28"/>
          <w:szCs w:val="28"/>
          <w:lang w:eastAsia="zh-CN" w:bidi="hi-IN"/>
        </w:rPr>
        <w:t>Свирьстройского городского поселения</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w:t>
      </w:r>
      <w:r w:rsidR="008F4D0F">
        <w:rPr>
          <w:sz w:val="28"/>
          <w:szCs w:val="28"/>
        </w:rPr>
        <w:t>Данное решение о</w:t>
      </w:r>
      <w:r w:rsidRPr="00740A3D">
        <w:rPr>
          <w:sz w:val="28"/>
          <w:szCs w:val="28"/>
        </w:rPr>
        <w:t xml:space="preserve">публиковать </w:t>
      </w:r>
      <w:r w:rsidR="008F4D0F">
        <w:rPr>
          <w:sz w:val="28"/>
          <w:szCs w:val="28"/>
        </w:rPr>
        <w:t xml:space="preserve">(обнародовать) и разместить на </w:t>
      </w:r>
      <w:proofErr w:type="gramStart"/>
      <w:r w:rsidR="008F4D0F">
        <w:rPr>
          <w:sz w:val="28"/>
          <w:szCs w:val="28"/>
        </w:rPr>
        <w:t>официальном</w:t>
      </w:r>
      <w:proofErr w:type="gramEnd"/>
      <w:r w:rsidR="008F4D0F">
        <w:rPr>
          <w:sz w:val="28"/>
          <w:szCs w:val="28"/>
        </w:rPr>
        <w:t xml:space="preserve"> сайт  Свирьстройского городского поселения</w:t>
      </w:r>
      <w:r w:rsidRPr="00740A3D">
        <w:rPr>
          <w:sz w:val="28"/>
          <w:szCs w:val="28"/>
        </w:rPr>
        <w:t>.</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8F4D0F" w:rsidRDefault="000F0623" w:rsidP="000F0623">
      <w:pPr>
        <w:rPr>
          <w:sz w:val="28"/>
          <w:szCs w:val="28"/>
        </w:rPr>
      </w:pPr>
      <w:r w:rsidRPr="00740A3D">
        <w:rPr>
          <w:sz w:val="28"/>
          <w:szCs w:val="28"/>
        </w:rPr>
        <w:t>Глава</w:t>
      </w:r>
      <w:r w:rsidR="008F4D0F">
        <w:rPr>
          <w:sz w:val="28"/>
          <w:szCs w:val="28"/>
        </w:rPr>
        <w:t xml:space="preserve"> Свирьстройского </w:t>
      </w:r>
      <w:r w:rsidRPr="00740A3D">
        <w:rPr>
          <w:sz w:val="28"/>
          <w:szCs w:val="28"/>
        </w:rPr>
        <w:t xml:space="preserve"> </w:t>
      </w:r>
    </w:p>
    <w:p w:rsidR="000F0623" w:rsidRPr="00740A3D" w:rsidRDefault="008F4D0F" w:rsidP="000F0623">
      <w:pPr>
        <w:rPr>
          <w:b/>
          <w:sz w:val="28"/>
          <w:szCs w:val="28"/>
        </w:rPr>
      </w:pPr>
      <w:r>
        <w:rPr>
          <w:sz w:val="28"/>
          <w:szCs w:val="28"/>
        </w:rPr>
        <w:t>городского поселения</w:t>
      </w:r>
      <w:r w:rsidR="000F0623">
        <w:rPr>
          <w:sz w:val="28"/>
          <w:szCs w:val="28"/>
        </w:rPr>
        <w:t xml:space="preserve">                  </w:t>
      </w:r>
      <w:r w:rsidR="000F0623" w:rsidRPr="00740A3D">
        <w:rPr>
          <w:sz w:val="28"/>
          <w:szCs w:val="28"/>
        </w:rPr>
        <w:t xml:space="preserve">              </w:t>
      </w:r>
      <w:r>
        <w:rPr>
          <w:sz w:val="28"/>
          <w:szCs w:val="28"/>
        </w:rPr>
        <w:t xml:space="preserve">                         В.А.СТУКАЛОВА</w:t>
      </w:r>
      <w:r w:rsidR="000F0623" w:rsidRPr="00740A3D">
        <w:rPr>
          <w:sz w:val="28"/>
          <w:szCs w:val="28"/>
        </w:rPr>
        <w:t xml:space="preserve">  </w:t>
      </w:r>
    </w:p>
    <w:p w:rsidR="00094E74" w:rsidRDefault="00094E74" w:rsidP="000F0623">
      <w:pPr>
        <w:autoSpaceDE w:val="0"/>
        <w:autoSpaceDN w:val="0"/>
        <w:adjustRightInd w:val="0"/>
        <w:ind w:left="4536"/>
        <w:jc w:val="right"/>
        <w:rPr>
          <w:color w:val="000000" w:themeColor="text1"/>
          <w:sz w:val="28"/>
          <w:szCs w:val="28"/>
        </w:rPr>
      </w:pPr>
      <w:bookmarkStart w:id="0" w:name="Par35"/>
      <w:bookmarkEnd w:id="0"/>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8F4D0F"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8F4D0F">
        <w:rPr>
          <w:color w:val="000000" w:themeColor="text1"/>
          <w:sz w:val="28"/>
          <w:szCs w:val="28"/>
        </w:rPr>
        <w:t>23.09.2021</w:t>
      </w:r>
      <w:r w:rsidRPr="00740A3D">
        <w:rPr>
          <w:color w:val="000000" w:themeColor="text1"/>
          <w:sz w:val="28"/>
          <w:szCs w:val="28"/>
        </w:rPr>
        <w:t xml:space="preserve"> № </w:t>
      </w:r>
      <w:r w:rsidR="008F4D0F">
        <w:rPr>
          <w:color w:val="000000" w:themeColor="text1"/>
          <w:sz w:val="28"/>
          <w:szCs w:val="28"/>
        </w:rPr>
        <w:t>90</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8F4D0F">
        <w:rPr>
          <w:rStyle w:val="bumpedfont15"/>
          <w:b/>
          <w:bCs/>
          <w:sz w:val="28"/>
          <w:szCs w:val="28"/>
        </w:rPr>
        <w:t>Свирьстройского городского поселения</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8F4D0F">
        <w:rPr>
          <w:rStyle w:val="bumpedfont15"/>
          <w:sz w:val="28"/>
          <w:szCs w:val="28"/>
        </w:rPr>
        <w:t>Свирьстройского городского поселения</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Муниципальный контроль осуществляется администрацией</w:t>
      </w:r>
      <w:r w:rsidR="008F4D0F">
        <w:rPr>
          <w:sz w:val="28"/>
          <w:szCs w:val="28"/>
        </w:rPr>
        <w:t xml:space="preserve"> Свирьстройского городского поселения</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8F4D0F">
        <w:rPr>
          <w:rFonts w:ascii="Times New Roman" w:hAnsi="Times New Roman"/>
          <w:sz w:val="28"/>
        </w:rPr>
        <w:t>Свирьстройского городского поселения</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5796B">
        <w:rPr>
          <w:rStyle w:val="bumpedfont15"/>
          <w:sz w:val="28"/>
          <w:szCs w:val="28"/>
        </w:rPr>
        <w:lastRenderedPageBreak/>
        <w:t>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r w:rsidR="008F4D0F">
        <w:rPr>
          <w:rStyle w:val="bumpedfont15"/>
          <w:sz w:val="28"/>
          <w:szCs w:val="28"/>
        </w:rPr>
        <w:t>.</w:t>
      </w:r>
      <w:r>
        <w:rPr>
          <w:rStyle w:val="bumpedfont15"/>
          <w:sz w:val="28"/>
          <w:szCs w:val="28"/>
        </w:rPr>
        <w:t xml:space="preserve"> </w:t>
      </w:r>
      <w:proofErr w:type="gramStart"/>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w:t>
      </w:r>
      <w:r w:rsidR="008F4D0F">
        <w:rPr>
          <w:rStyle w:val="bumpedfont15"/>
          <w:sz w:val="28"/>
          <w:szCs w:val="28"/>
        </w:rPr>
        <w:t xml:space="preserve"> организация и осуществления контроля в сфере</w:t>
      </w:r>
      <w:r w:rsidR="00A26719" w:rsidRPr="00A26719">
        <w:rPr>
          <w:rStyle w:val="bumpedfont15"/>
          <w:b/>
          <w:bCs/>
          <w:sz w:val="28"/>
          <w:szCs w:val="28"/>
        </w:rPr>
        <w:t xml:space="preserve"> </w:t>
      </w:r>
      <w:r w:rsidR="00A26719" w:rsidRPr="00A26719">
        <w:rPr>
          <w:rStyle w:val="bumpedfont15"/>
          <w:bCs/>
          <w:sz w:val="28"/>
          <w:szCs w:val="28"/>
        </w:rPr>
        <w:t>на автомобильном транспорте и в дорожном хозяйстве</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26719"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A26719">
        <w:rPr>
          <w:rStyle w:val="bumpedfont15"/>
          <w:sz w:val="28"/>
          <w:szCs w:val="28"/>
        </w:rPr>
        <w:t>инспекционный визит; документарная проверка.</w:t>
      </w:r>
      <w:r w:rsidRPr="002D071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proofErr w:type="gramStart"/>
      <w:r w:rsidRPr="002D071A">
        <w:rPr>
          <w:rStyle w:val="bumpedfont15"/>
          <w:sz w:val="28"/>
          <w:szCs w:val="28"/>
        </w:rPr>
        <w:t>отношении</w:t>
      </w:r>
      <w:proofErr w:type="gramEnd"/>
      <w:r w:rsidRPr="002D071A">
        <w:rPr>
          <w:rStyle w:val="bumpedfont15"/>
          <w:sz w:val="28"/>
          <w:szCs w:val="28"/>
        </w:rPr>
        <w:t xml:space="preserve"> объектов, относящихся к категории умеренного риска, проводятся:</w:t>
      </w:r>
      <w:r w:rsidR="00A26719" w:rsidRPr="00A26719">
        <w:rPr>
          <w:rStyle w:val="bumpedfont15"/>
          <w:sz w:val="28"/>
          <w:szCs w:val="28"/>
        </w:rPr>
        <w:t xml:space="preserve"> </w:t>
      </w:r>
      <w:r w:rsidR="00A26719">
        <w:rPr>
          <w:rStyle w:val="bumpedfont15"/>
          <w:sz w:val="28"/>
          <w:szCs w:val="28"/>
        </w:rPr>
        <w:t>инспекционный визит; 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lastRenderedPageBreak/>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8F4D0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8F4D0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8F4D0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8F4D0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8F4D0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8F4D0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8F4D0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8F4D0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8F4D0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8F4D0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23" w:rsidRDefault="00140E23" w:rsidP="00F6171E">
      <w:r>
        <w:separator/>
      </w:r>
    </w:p>
  </w:endnote>
  <w:endnote w:type="continuationSeparator" w:id="0">
    <w:p w:rsidR="00140E23" w:rsidRDefault="00140E23"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23" w:rsidRDefault="00140E23" w:rsidP="00F6171E">
      <w:r>
        <w:separator/>
      </w:r>
    </w:p>
  </w:footnote>
  <w:footnote w:type="continuationSeparator" w:id="0">
    <w:p w:rsidR="00140E23" w:rsidRDefault="00140E23"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8F4D0F" w:rsidRDefault="008F4D0F">
        <w:pPr>
          <w:pStyle w:val="af2"/>
          <w:jc w:val="center"/>
        </w:pPr>
        <w:fldSimple w:instr=" PAGE   \* MERGEFORMAT ">
          <w:r w:rsidR="00A26719">
            <w:rPr>
              <w:noProof/>
            </w:rPr>
            <w:t>8</w:t>
          </w:r>
        </w:fldSimple>
      </w:p>
    </w:sdtContent>
  </w:sdt>
  <w:p w:rsidR="008F4D0F" w:rsidRDefault="008F4D0F">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3042"/>
    <w:rsid w:val="00012EBB"/>
    <w:rsid w:val="0005796B"/>
    <w:rsid w:val="00067DD1"/>
    <w:rsid w:val="000724BB"/>
    <w:rsid w:val="000854C7"/>
    <w:rsid w:val="00094E74"/>
    <w:rsid w:val="00095E81"/>
    <w:rsid w:val="000C0A75"/>
    <w:rsid w:val="000E0BDD"/>
    <w:rsid w:val="000F0623"/>
    <w:rsid w:val="0010347C"/>
    <w:rsid w:val="00104406"/>
    <w:rsid w:val="00140E23"/>
    <w:rsid w:val="001470B0"/>
    <w:rsid w:val="001A30EC"/>
    <w:rsid w:val="001C62A2"/>
    <w:rsid w:val="001D1BE4"/>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8F4D0F"/>
    <w:rsid w:val="009026B2"/>
    <w:rsid w:val="00913F3D"/>
    <w:rsid w:val="0091687E"/>
    <w:rsid w:val="00931D1F"/>
    <w:rsid w:val="009B0381"/>
    <w:rsid w:val="00A26719"/>
    <w:rsid w:val="00A50F92"/>
    <w:rsid w:val="00A76A96"/>
    <w:rsid w:val="00AA1B5B"/>
    <w:rsid w:val="00AA4276"/>
    <w:rsid w:val="00B55F35"/>
    <w:rsid w:val="00B877B3"/>
    <w:rsid w:val="00BB1FBD"/>
    <w:rsid w:val="00BC5993"/>
    <w:rsid w:val="00C2754F"/>
    <w:rsid w:val="00C50DB4"/>
    <w:rsid w:val="00C6707E"/>
    <w:rsid w:val="00D2039B"/>
    <w:rsid w:val="00D24D01"/>
    <w:rsid w:val="00D335A9"/>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420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15</cp:revision>
  <dcterms:created xsi:type="dcterms:W3CDTF">2021-09-03T14:51:00Z</dcterms:created>
  <dcterms:modified xsi:type="dcterms:W3CDTF">2021-09-30T05:51:00Z</dcterms:modified>
</cp:coreProperties>
</file>