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9" w:rsidRPr="001A3D5B" w:rsidRDefault="001C49DF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СВИРЬСТРОЙСКОЕ ГОРОДСКОЕ </w:t>
      </w:r>
      <w:r w:rsidR="003D6139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ПОСЕЛЕНИЕ</w:t>
      </w:r>
    </w:p>
    <w:p w:rsidR="003D6139" w:rsidRPr="001A3D5B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A3D5B" w:rsidRPr="001A3D5B" w:rsidRDefault="001A3D5B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2BA" w:rsidRPr="001A3D5B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CF32BA" w:rsidRPr="001A3D5B" w:rsidRDefault="00F56657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1A3D5B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C07424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вадцат</w:t>
      </w:r>
      <w:r w:rsidR="00EC0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ое </w:t>
      </w:r>
      <w:r w:rsidR="00C07424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(очередное) заседание</w:t>
      </w:r>
      <w:r w:rsidR="002D079B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четвертого созыва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1A3D5B" w:rsidRDefault="001A3D5B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139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A3D5B" w:rsidRPr="001A3D5B" w:rsidRDefault="001A3D5B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139" w:rsidRPr="001A3D5B" w:rsidRDefault="00EC077A" w:rsidP="00EC07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09.12.2021</w:t>
      </w:r>
      <w:r w:rsidR="003D6139" w:rsidRPr="001A3D5B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="004B2B46" w:rsidRPr="001A3D5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D6139" w:rsidRPr="001A3D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6139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F33B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96</w:t>
      </w:r>
    </w:p>
    <w:p w:rsidR="00EC077A" w:rsidRDefault="001A4FD1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4A564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Контрольно-счетной комиссии </w:t>
      </w:r>
    </w:p>
    <w:p w:rsidR="00EC077A" w:rsidRDefault="004A564A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Лодейнопольского муниципального района </w:t>
      </w:r>
    </w:p>
    <w:p w:rsidR="00C87501" w:rsidRPr="001A3D5B" w:rsidRDefault="004A564A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полномочий</w:t>
      </w:r>
    </w:p>
    <w:p w:rsidR="00EC077A" w:rsidRDefault="00C87501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1C49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</w:t>
      </w:r>
    </w:p>
    <w:p w:rsidR="00EC077A" w:rsidRDefault="001C49DF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</w:t>
      </w:r>
      <w:r w:rsidR="001A4FD1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</w:t>
      </w:r>
    </w:p>
    <w:p w:rsidR="00EC077A" w:rsidRDefault="00EC077A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A4FD1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района</w:t>
      </w:r>
      <w:r w:rsidR="00F0509C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</w:t>
      </w:r>
    </w:p>
    <w:p w:rsidR="00EC077A" w:rsidRDefault="004A564A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внешнего</w:t>
      </w:r>
      <w:proofErr w:type="gramEnd"/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1A4FD1" w:rsidRPr="001A3D5B" w:rsidRDefault="004A564A" w:rsidP="00EC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контроля</w:t>
      </w:r>
    </w:p>
    <w:p w:rsidR="00C87501" w:rsidRPr="001A3D5B" w:rsidRDefault="00EC077A" w:rsidP="00EC077A">
      <w:pPr>
        <w:widowControl w:val="0"/>
        <w:tabs>
          <w:tab w:val="left" w:pos="529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C23BE" w:rsidRPr="001A3D5B" w:rsidRDefault="00C87501" w:rsidP="00BC23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5B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0BB6" w:rsidRPr="001A3D5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A3D5B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1A3D5B">
          <w:rPr>
            <w:rFonts w:ascii="Times New Roman" w:hAnsi="Times New Roman"/>
            <w:color w:val="000000"/>
            <w:sz w:val="28"/>
            <w:szCs w:val="28"/>
          </w:rPr>
          <w:t xml:space="preserve"> от 07.12.2011</w:t>
        </w:r>
        <w:r w:rsidR="00C80BB6" w:rsidRPr="001A3D5B">
          <w:rPr>
            <w:rFonts w:ascii="Times New Roman" w:hAnsi="Times New Roman"/>
            <w:color w:val="000000"/>
            <w:sz w:val="28"/>
            <w:szCs w:val="28"/>
          </w:rPr>
          <w:t xml:space="preserve"> г.</w:t>
        </w:r>
        <w:r w:rsidRPr="001A3D5B">
          <w:rPr>
            <w:rFonts w:ascii="Times New Roman" w:hAnsi="Times New Roman"/>
            <w:color w:val="000000"/>
            <w:sz w:val="28"/>
            <w:szCs w:val="28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A3D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1C49DF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4A564A" w:rsidRPr="001A3D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23BE" w:rsidRPr="001A3D5B" w:rsidRDefault="004A564A" w:rsidP="00F5665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1.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Передать Контрольно-счетной комиссии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Лодейнопольск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полномочи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501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</w:t>
      </w:r>
      <w:r w:rsidR="001C49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Свирьстройского городского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контроля.</w:t>
      </w:r>
    </w:p>
    <w:p w:rsidR="00BC23BE" w:rsidRPr="001A3D5B" w:rsidRDefault="004A564A" w:rsidP="00F56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 xml:space="preserve">2.Утвердить проект Соглашения 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о передаче Контрольно-счетной комиссии Лодейнопольского муниципального района Ленинградской области полномочий контрольно-счетного органа</w:t>
      </w:r>
      <w:r w:rsidR="001C49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Свирьстройского городского</w:t>
      </w:r>
      <w:r w:rsidR="00297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района Ленинградской области по осуществлению внешнего муниципального финансового контроля </w:t>
      </w:r>
      <w:r w:rsidRPr="001A3D5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23BE" w:rsidRPr="001A3D5B" w:rsidRDefault="004A564A" w:rsidP="00F566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3.</w:t>
      </w:r>
      <w:r w:rsidR="00674039" w:rsidRPr="001A3D5B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1A3D5B">
        <w:rPr>
          <w:rFonts w:ascii="Times New Roman" w:hAnsi="Times New Roman" w:cs="Times New Roman"/>
          <w:sz w:val="28"/>
          <w:szCs w:val="28"/>
        </w:rPr>
        <w:t xml:space="preserve">с советом депутатов Лодейнопольского муниципального района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>Соглашение, указанное в пункте 2 настоящего решения.</w:t>
      </w:r>
    </w:p>
    <w:p w:rsidR="0083704D" w:rsidRPr="001A3D5B" w:rsidRDefault="00BC23BE" w:rsidP="00F566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4.Установить, что Администрация</w:t>
      </w:r>
      <w:r w:rsidR="002974A1">
        <w:rPr>
          <w:rFonts w:ascii="Times New Roman" w:hAnsi="Times New Roman" w:cs="Times New Roman"/>
          <w:sz w:val="28"/>
          <w:szCs w:val="28"/>
        </w:rPr>
        <w:t xml:space="preserve"> </w:t>
      </w:r>
      <w:r w:rsidR="001C49DF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обязана перечислять в бюджет Лодейнопольского муниципального </w:t>
      </w:r>
      <w:r w:rsidRPr="001A3D5B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</w:t>
      </w:r>
      <w:r w:rsidR="00B44F35" w:rsidRPr="001A3D5B">
        <w:rPr>
          <w:rFonts w:ascii="Times New Roman" w:hAnsi="Times New Roman" w:cs="Times New Roman"/>
          <w:sz w:val="28"/>
          <w:szCs w:val="28"/>
        </w:rPr>
        <w:t>предусмотренные бюджетом</w:t>
      </w:r>
      <w:r w:rsidR="002974A1">
        <w:rPr>
          <w:rFonts w:ascii="Times New Roman" w:hAnsi="Times New Roman" w:cs="Times New Roman"/>
          <w:sz w:val="28"/>
          <w:szCs w:val="28"/>
        </w:rPr>
        <w:t xml:space="preserve"> </w:t>
      </w:r>
      <w:r w:rsidR="00712F42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B44F35"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переданных полномочий в сроки и в объемах, установленных Соглашением, указанным в пункте 2 настоящего решения</w:t>
      </w:r>
      <w:r w:rsidR="0083704D" w:rsidRPr="001A3D5B">
        <w:rPr>
          <w:rFonts w:ascii="Times New Roman" w:hAnsi="Times New Roman" w:cs="Times New Roman"/>
          <w:sz w:val="28"/>
          <w:szCs w:val="28"/>
        </w:rPr>
        <w:t>.</w:t>
      </w:r>
    </w:p>
    <w:p w:rsidR="0083704D" w:rsidRPr="001A3D5B" w:rsidRDefault="009B4BC0" w:rsidP="00837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hAnsi="Times New Roman" w:cs="Times New Roman"/>
          <w:sz w:val="28"/>
          <w:szCs w:val="28"/>
        </w:rPr>
        <w:t>5.Признать утратившим силу решение совета депутатов</w:t>
      </w:r>
      <w:r w:rsidR="001A3D5B">
        <w:rPr>
          <w:rFonts w:ascii="Times New Roman" w:hAnsi="Times New Roman" w:cs="Times New Roman"/>
          <w:sz w:val="28"/>
          <w:szCs w:val="28"/>
        </w:rPr>
        <w:t xml:space="preserve"> </w:t>
      </w:r>
      <w:r w:rsidR="00712F42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 xml:space="preserve">от </w:t>
      </w:r>
      <w:r w:rsidR="002974A1">
        <w:rPr>
          <w:rFonts w:ascii="Times New Roman" w:hAnsi="Times New Roman" w:cs="Times New Roman"/>
          <w:sz w:val="28"/>
          <w:szCs w:val="28"/>
        </w:rPr>
        <w:t>1</w:t>
      </w:r>
      <w:r w:rsidR="00712F42">
        <w:rPr>
          <w:rFonts w:ascii="Times New Roman" w:hAnsi="Times New Roman" w:cs="Times New Roman"/>
          <w:sz w:val="28"/>
          <w:szCs w:val="28"/>
        </w:rPr>
        <w:t>7</w:t>
      </w:r>
      <w:r w:rsidRPr="001A3D5B">
        <w:rPr>
          <w:rFonts w:ascii="Times New Roman" w:hAnsi="Times New Roman" w:cs="Times New Roman"/>
          <w:sz w:val="28"/>
          <w:szCs w:val="28"/>
        </w:rPr>
        <w:t>.1</w:t>
      </w:r>
      <w:r w:rsidR="00712F42">
        <w:rPr>
          <w:rFonts w:ascii="Times New Roman" w:hAnsi="Times New Roman" w:cs="Times New Roman"/>
          <w:sz w:val="28"/>
          <w:szCs w:val="28"/>
        </w:rPr>
        <w:t>2</w:t>
      </w:r>
      <w:r w:rsidRPr="001A3D5B">
        <w:rPr>
          <w:rFonts w:ascii="Times New Roman" w:hAnsi="Times New Roman" w:cs="Times New Roman"/>
          <w:sz w:val="28"/>
          <w:szCs w:val="28"/>
        </w:rPr>
        <w:t>.2014</w:t>
      </w:r>
      <w:r w:rsidR="0083704D" w:rsidRPr="001A3D5B">
        <w:rPr>
          <w:rFonts w:ascii="Times New Roman" w:hAnsi="Times New Roman" w:cs="Times New Roman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sz w:val="28"/>
          <w:szCs w:val="28"/>
        </w:rPr>
        <w:t>г. №</w:t>
      </w:r>
      <w:r w:rsidR="00712F42">
        <w:rPr>
          <w:rFonts w:ascii="Times New Roman" w:hAnsi="Times New Roman" w:cs="Times New Roman"/>
          <w:sz w:val="28"/>
          <w:szCs w:val="28"/>
        </w:rPr>
        <w:t>24</w:t>
      </w:r>
      <w:r w:rsidRPr="001A3D5B">
        <w:rPr>
          <w:rFonts w:ascii="Times New Roman" w:hAnsi="Times New Roman" w:cs="Times New Roman"/>
          <w:sz w:val="28"/>
          <w:szCs w:val="28"/>
        </w:rPr>
        <w:t xml:space="preserve"> «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передаче Контрольно-счетной комиссии 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Ленинградской области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городского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 Ленинградской области  по осуществлению внешнего муниципального финансового контроля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F3E4F" w:rsidRPr="001A3D5B" w:rsidRDefault="009B4BC0" w:rsidP="00F56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F3E4F" w:rsidRPr="001A3D5B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01.01.2022 года.</w:t>
      </w: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6A" w:rsidRPr="001A3D5B" w:rsidRDefault="00191A6A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42" w:rsidRDefault="001A3D5B" w:rsidP="001A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</w:p>
    <w:p w:rsidR="00BC23BE" w:rsidRDefault="00712F42" w:rsidP="0071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A3D5B"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1A3D5B"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СТУКАЛОВА</w:t>
      </w: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246DA" w:rsidRDefault="005246D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7540C" w:rsidRDefault="00E7540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712F42" w:rsidRDefault="00712F42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712F42" w:rsidRDefault="00712F42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712F42" w:rsidRDefault="00712F42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344325" w:rsidRDefault="00344325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DC421C" w:rsidRDefault="00DC421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DC421C" w:rsidRDefault="00DC421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83704D" w:rsidRDefault="0083704D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275" w:rsidRDefault="00DA5275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УТВЕРЖДЕНО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6C260E" w:rsidRPr="002D0CCA" w:rsidRDefault="00712F42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6C260E" w:rsidRPr="002D0CCA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от __.</w:t>
      </w:r>
      <w:r w:rsidR="00DA5275">
        <w:rPr>
          <w:rFonts w:ascii="Times New Roman" w:hAnsi="Times New Roman" w:cs="Times New Roman"/>
          <w:sz w:val="24"/>
          <w:szCs w:val="24"/>
        </w:rPr>
        <w:t>__</w:t>
      </w:r>
      <w:r w:rsidRPr="002D0CCA">
        <w:rPr>
          <w:rFonts w:ascii="Times New Roman" w:hAnsi="Times New Roman" w:cs="Times New Roman"/>
          <w:sz w:val="24"/>
          <w:szCs w:val="24"/>
        </w:rPr>
        <w:t>.2021 г. №___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564A" w:rsidRPr="002D0CCA" w:rsidRDefault="004A564A" w:rsidP="00BC2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64A" w:rsidRPr="002D0CCA" w:rsidRDefault="004A564A" w:rsidP="006C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Соглашение</w:t>
      </w:r>
    </w:p>
    <w:p w:rsidR="0083704D" w:rsidRDefault="006C260E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Контрольно-счетной комиссии Лодейнопольского муниципального района Ленинградской области полномочий </w:t>
      </w:r>
      <w:r w:rsidR="00B44F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контрольно-счетного органа</w:t>
      </w:r>
      <w:r w:rsidR="00712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Свирьстройского городского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Лодейнопольского муниципального района Ленинградской области по осуществлению внешнего муниципального финансового контроля</w:t>
      </w:r>
      <w:r w:rsidR="008370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3704D" w:rsidRPr="00BC2817" w:rsidRDefault="0083704D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№___</w:t>
      </w:r>
    </w:p>
    <w:p w:rsidR="0083704D" w:rsidRPr="007F7FF2" w:rsidRDefault="0083704D" w:rsidP="0083704D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83704D" w:rsidRPr="008815B0" w:rsidRDefault="0083704D" w:rsidP="0083704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Pr="00F47F4C">
        <w:rPr>
          <w:sz w:val="28"/>
          <w:szCs w:val="28"/>
        </w:rPr>
        <w:t xml:space="preserve">______________                              </w:t>
      </w:r>
      <w:r>
        <w:rPr>
          <w:sz w:val="28"/>
          <w:szCs w:val="28"/>
        </w:rPr>
        <w:t xml:space="preserve">                        </w:t>
      </w:r>
      <w:r w:rsidRPr="00F47F4C">
        <w:rPr>
          <w:sz w:val="28"/>
          <w:szCs w:val="28"/>
        </w:rPr>
        <w:t>«____»__________20</w:t>
      </w:r>
      <w:r>
        <w:rPr>
          <w:sz w:val="28"/>
          <w:szCs w:val="28"/>
        </w:rPr>
        <w:t xml:space="preserve">21 </w:t>
      </w:r>
      <w:r w:rsidRPr="00F47F4C">
        <w:rPr>
          <w:sz w:val="28"/>
          <w:szCs w:val="28"/>
        </w:rPr>
        <w:t>г</w:t>
      </w:r>
      <w:r w:rsidRPr="00F47F4C">
        <w:t xml:space="preserve">. </w:t>
      </w:r>
      <w: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83704D" w:rsidRPr="004C6BF7" w:rsidRDefault="0083704D" w:rsidP="004C6BF7">
      <w:pPr>
        <w:pStyle w:val="af0"/>
        <w:ind w:firstLine="567"/>
        <w:jc w:val="both"/>
        <w:rPr>
          <w:rFonts w:ascii="Times New Roman" w:hAnsi="Times New Roman"/>
        </w:rPr>
      </w:pPr>
      <w:r w:rsidRPr="004C6BF7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</w:t>
      </w:r>
      <w:r w:rsidR="005741F3">
        <w:rPr>
          <w:rFonts w:ascii="Times New Roman" w:hAnsi="Times New Roman"/>
          <w:color w:val="000000"/>
        </w:rPr>
        <w:t xml:space="preserve"> г.</w:t>
      </w:r>
      <w:r w:rsidRPr="004C6BF7">
        <w:rPr>
          <w:rFonts w:ascii="Times New Roman" w:hAnsi="Times New Roman"/>
          <w:color w:val="000000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4C6BF7">
          <w:rPr>
            <w:rFonts w:ascii="Times New Roman" w:hAnsi="Times New Roman"/>
            <w:color w:val="000000"/>
          </w:rPr>
          <w:t xml:space="preserve"> от 07.12.2011</w:t>
        </w:r>
        <w:r w:rsidR="005741F3">
          <w:rPr>
            <w:rFonts w:ascii="Times New Roman" w:hAnsi="Times New Roman"/>
            <w:color w:val="000000"/>
          </w:rPr>
          <w:t xml:space="preserve"> г.</w:t>
        </w:r>
        <w:r w:rsidRPr="004C6BF7">
          <w:rPr>
            <w:rFonts w:ascii="Times New Roman" w:hAnsi="Times New Roman"/>
            <w:color w:val="000000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C6BF7">
        <w:rPr>
          <w:rFonts w:ascii="Times New Roman" w:hAnsi="Times New Roman"/>
          <w:color w:val="000000"/>
        </w:rPr>
        <w:t xml:space="preserve">, </w:t>
      </w:r>
      <w:r w:rsidRPr="004C6BF7">
        <w:rPr>
          <w:rFonts w:ascii="Times New Roman" w:hAnsi="Times New Roman"/>
        </w:rPr>
        <w:t xml:space="preserve">совет депутатов Лодейнопольского муниципального района Ленинградской области (далее – представительный орган муниципального района) в лице главы Лодейнопольского муниципального района Ленинградской области Баранова Сергея Анатольевича, действующего на основании Устава Лодейнопольского муниципального района Ленинградской области, Контрольно-счетная комиссия Лодейнопольского муниципального района Ленинградской области в лице председателя Тарасовой Татьяны Викторовны, действующей на основании Положения о Контрольно-счетной комиссии Лодейнопольского муниципального района Ленинградской области </w:t>
      </w:r>
      <w:r w:rsidR="004C6BF7" w:rsidRPr="004C6BF7">
        <w:rPr>
          <w:rFonts w:ascii="Times New Roman" w:hAnsi="Times New Roman"/>
        </w:rPr>
        <w:t xml:space="preserve">и Совет депутатов </w:t>
      </w:r>
      <w:r w:rsidR="00712F42">
        <w:rPr>
          <w:rFonts w:ascii="Times New Roman" w:hAnsi="Times New Roman"/>
        </w:rPr>
        <w:t xml:space="preserve">Свирьстройского городского </w:t>
      </w:r>
      <w:r w:rsidR="004C6BF7" w:rsidRPr="004C6BF7">
        <w:rPr>
          <w:rFonts w:ascii="Times New Roman" w:hAnsi="Times New Roman"/>
        </w:rPr>
        <w:t xml:space="preserve">поселения Лодейнопольского муниципального района Ленинградской области </w:t>
      </w:r>
      <w:r w:rsidRPr="004C6BF7">
        <w:rPr>
          <w:rFonts w:ascii="Times New Roman" w:hAnsi="Times New Roman"/>
        </w:rPr>
        <w:t xml:space="preserve">(далее - представительный орган поселения) </w:t>
      </w:r>
      <w:r w:rsidR="004C6BF7" w:rsidRPr="004C6BF7">
        <w:rPr>
          <w:rFonts w:ascii="Times New Roman" w:hAnsi="Times New Roman"/>
        </w:rPr>
        <w:t xml:space="preserve">в лице главы </w:t>
      </w:r>
      <w:r w:rsidR="00712F42">
        <w:rPr>
          <w:rFonts w:ascii="Times New Roman" w:hAnsi="Times New Roman"/>
        </w:rPr>
        <w:t xml:space="preserve">Свирьстройского городского </w:t>
      </w:r>
      <w:r w:rsidR="004C6BF7" w:rsidRPr="004C6BF7">
        <w:rPr>
          <w:rFonts w:ascii="Times New Roman" w:hAnsi="Times New Roman"/>
        </w:rPr>
        <w:t xml:space="preserve">поселения Лодейнопольского муниципального района Ленинградской области </w:t>
      </w:r>
      <w:r w:rsidR="00712F42">
        <w:rPr>
          <w:rFonts w:ascii="Times New Roman" w:hAnsi="Times New Roman"/>
        </w:rPr>
        <w:t>Стукаловой Валентины Анатольевны</w:t>
      </w:r>
      <w:r w:rsidR="004C6BF7" w:rsidRPr="004C6BF7">
        <w:rPr>
          <w:rFonts w:ascii="Times New Roman" w:hAnsi="Times New Roman"/>
        </w:rPr>
        <w:t>, действующего на основании Устава</w:t>
      </w:r>
      <w:r w:rsidR="00712F42">
        <w:rPr>
          <w:rFonts w:ascii="Times New Roman" w:hAnsi="Times New Roman"/>
        </w:rPr>
        <w:t xml:space="preserve"> Свирьстройского городского </w:t>
      </w:r>
      <w:r w:rsidR="004C6BF7" w:rsidRPr="004C6BF7">
        <w:rPr>
          <w:rFonts w:ascii="Times New Roman" w:hAnsi="Times New Roman"/>
        </w:rPr>
        <w:t xml:space="preserve">поселения Лодейнопольского муниципального района Ленинградской области, </w:t>
      </w:r>
      <w:r w:rsidRPr="004C6BF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№__</w:t>
      </w:r>
      <w:r w:rsidR="004C6BF7">
        <w:rPr>
          <w:rFonts w:ascii="Times New Roman" w:hAnsi="Times New Roman"/>
        </w:rPr>
        <w:t xml:space="preserve"> </w:t>
      </w:r>
      <w:r w:rsidRPr="004C6BF7">
        <w:rPr>
          <w:rFonts w:ascii="Times New Roman" w:hAnsi="Times New Roman"/>
        </w:rPr>
        <w:t xml:space="preserve">и представительного органа поселения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 ___</w:t>
      </w:r>
      <w:r w:rsidR="004C6BF7">
        <w:rPr>
          <w:rFonts w:ascii="Times New Roman" w:hAnsi="Times New Roman"/>
        </w:rPr>
        <w:t xml:space="preserve"> </w:t>
      </w:r>
      <w:r w:rsidRPr="004C6BF7">
        <w:rPr>
          <w:rFonts w:ascii="Times New Roman" w:hAnsi="Times New Roman"/>
        </w:rPr>
        <w:t>о нижеследующем.</w:t>
      </w:r>
    </w:p>
    <w:p w:rsidR="00161930" w:rsidRDefault="00161930" w:rsidP="0016193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b/>
          <w:color w:val="000000"/>
          <w:sz w:val="24"/>
          <w:szCs w:val="24"/>
        </w:rPr>
        <w:t>1. Предмет Соглашения</w:t>
      </w: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1.2. 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й комиссии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контрольно-счетный орган района) полномочий контрольно-счетного органа </w:t>
      </w:r>
      <w:r w:rsidR="00B81351">
        <w:rPr>
          <w:rFonts w:ascii="Times New Roman" w:hAnsi="Times New Roman" w:cs="Times New Roman"/>
          <w:color w:val="000000"/>
          <w:sz w:val="24"/>
          <w:szCs w:val="24"/>
        </w:rPr>
        <w:t xml:space="preserve">Свирьстройского городского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Лодейнопольского муниципального района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(далее – контрольно-счетный орган поселения) по осуществлению внешнего муниципального финансового контроля и передача из бюджета</w:t>
      </w:r>
      <w:r w:rsidR="00B81351">
        <w:rPr>
          <w:rFonts w:ascii="Times New Roman" w:hAnsi="Times New Roman" w:cs="Times New Roman"/>
          <w:color w:val="000000"/>
          <w:sz w:val="24"/>
          <w:szCs w:val="24"/>
        </w:rPr>
        <w:t xml:space="preserve"> Свирьстройского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Лодейнопольского муниципального района Ленинградской области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(далее – поселение) 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Лодейнопольского муниципального района Ленинградской области  м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ежбюджетных трансфертов на осуществление переданных полномочий.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1.3.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области,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уставом поселения и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правовыми актами поселения.</w:t>
      </w:r>
    </w:p>
    <w:p w:rsidR="00161930" w:rsidRPr="00D074F7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счетного</w:t>
      </w:r>
      <w:r w:rsidRPr="00D074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органа района.</w:t>
      </w:r>
    </w:p>
    <w:p w:rsidR="00D074F7" w:rsidRPr="00D074F7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1.5. Другие контрольные и экспертно-аналитические мероприятия включаются в план работы контрольно - счетного органа района </w:t>
      </w:r>
      <w:r w:rsidR="002D516F"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планирования, определенным Положением </w:t>
      </w:r>
      <w:r w:rsidR="002D516F" w:rsidRPr="00D074F7">
        <w:rPr>
          <w:rFonts w:ascii="Times New Roman" w:hAnsi="Times New Roman" w:cs="Times New Roman"/>
          <w:sz w:val="24"/>
          <w:szCs w:val="24"/>
        </w:rPr>
        <w:t>о Контрольно-счетной комиссии Лодейнопольского муниципального района Ленинградской области, Регламе</w:t>
      </w:r>
      <w:r w:rsidR="00D074F7" w:rsidRPr="00D074F7">
        <w:rPr>
          <w:rFonts w:ascii="Times New Roman" w:hAnsi="Times New Roman" w:cs="Times New Roman"/>
          <w:sz w:val="24"/>
          <w:szCs w:val="24"/>
        </w:rPr>
        <w:t xml:space="preserve">нтом </w:t>
      </w:r>
      <w:r w:rsidR="002D516F" w:rsidRPr="00D074F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D074F7" w:rsidRPr="00D074F7">
        <w:rPr>
          <w:rFonts w:ascii="Times New Roman" w:hAnsi="Times New Roman" w:cs="Times New Roman"/>
          <w:sz w:val="24"/>
          <w:szCs w:val="24"/>
        </w:rPr>
        <w:t xml:space="preserve">, </w:t>
      </w:r>
      <w:r w:rsidR="002D516F" w:rsidRPr="00D074F7">
        <w:rPr>
          <w:rFonts w:ascii="Times New Roman" w:hAnsi="Times New Roman" w:cs="Times New Roman"/>
          <w:sz w:val="24"/>
          <w:szCs w:val="24"/>
        </w:rPr>
        <w:t>Стандарт</w:t>
      </w:r>
      <w:r w:rsidR="00D074F7" w:rsidRPr="00D074F7">
        <w:rPr>
          <w:rFonts w:ascii="Times New Roman" w:hAnsi="Times New Roman" w:cs="Times New Roman"/>
          <w:sz w:val="24"/>
          <w:szCs w:val="24"/>
        </w:rPr>
        <w:t>ами</w:t>
      </w:r>
      <w:r w:rsidR="002D516F" w:rsidRPr="00D074F7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  <w:r w:rsidR="00D074F7" w:rsidRPr="00D074F7"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</w:t>
      </w:r>
      <w:r w:rsidR="00D074F7" w:rsidRPr="00D07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930" w:rsidRPr="00D074F7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D074F7">
        <w:rPr>
          <w:rFonts w:ascii="Times New Roman" w:hAnsi="Times New Roman" w:cs="Times New Roman"/>
          <w:sz w:val="24"/>
          <w:szCs w:val="24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z w:val="24"/>
          <w:szCs w:val="24"/>
        </w:rPr>
        <w:t>2. Срок действия Соглашения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2.1. Соглашение заключено на срок три года и действует в период с 1 января ______ г. по 31 декабря ______ г.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 Порядок определения и предоставления ежегодного объема межбюджетных трансфертов</w:t>
      </w:r>
    </w:p>
    <w:p w:rsid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поло</w:t>
      </w:r>
      <w:r w:rsidR="00473CDF">
        <w:rPr>
          <w:rFonts w:ascii="Times New Roman" w:hAnsi="Times New Roman" w:cs="Times New Roman"/>
          <w:color w:val="000000"/>
          <w:sz w:val="24"/>
          <w:szCs w:val="24"/>
        </w:rPr>
        <w:t xml:space="preserve">жениям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предоставления и расходования иных межбюджетных трансфертов бюджету муниципального района на осуществление полномочий контрольно-счетного органа поселения по внешнему муниципальному финансовому контролю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утверждаемого Решением о бюджете поселения на очередной финансовый год и плановый период.</w:t>
      </w:r>
    </w:p>
    <w:p w:rsidR="00473CDF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FA53F3">
        <w:rPr>
          <w:rFonts w:ascii="Times New Roman" w:hAnsi="Times New Roman" w:cs="Times New Roman"/>
          <w:color w:val="000000"/>
          <w:sz w:val="24"/>
          <w:szCs w:val="24"/>
        </w:rPr>
        <w:t>105,6 тыс.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FA53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C23" w:rsidRPr="005B7C23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473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Объем межбюджетных трансфертов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второй, третий и последующие годы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2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5B7C23" w:rsidRPr="005B7C23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на </w:t>
      </w:r>
      <w:r w:rsidR="005B7C23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5B7C23" w:rsidRPr="005B7C23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1A36E1" w:rsidRPr="001A36E1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 Для проведения контрольно-счетным органом района</w:t>
      </w:r>
      <w:r w:rsidR="001A36E1" w:rsidRPr="001A36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. Ежегодный объем межбюджетных трансфертов перечисляется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равными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частями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в сроки до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числа первого месяца текущего квартала.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6</w:t>
      </w:r>
      <w:r w:rsidRPr="001A36E1">
        <w:rPr>
          <w:rFonts w:ascii="Times New Roman" w:hAnsi="Times New Roman" w:cs="Times New Roman"/>
          <w:sz w:val="24"/>
          <w:szCs w:val="24"/>
        </w:rPr>
        <w:t>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A6388D">
        <w:rPr>
          <w:rFonts w:ascii="Times New Roman" w:hAnsi="Times New Roman" w:cs="Times New Roman"/>
          <w:sz w:val="24"/>
          <w:szCs w:val="24"/>
        </w:rPr>
        <w:t>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7</w:t>
      </w:r>
      <w:r w:rsidRPr="001A36E1">
        <w:rPr>
          <w:rFonts w:ascii="Times New Roman" w:hAnsi="Times New Roman" w:cs="Times New Roman"/>
          <w:sz w:val="24"/>
          <w:szCs w:val="24"/>
        </w:rPr>
        <w:t xml:space="preserve">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64DED" w:rsidRPr="00064DED" w:rsidRDefault="00064DED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64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 Права и обязанности сторон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4.1.Представительный орган муниципального района: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4.1.4) получает от контрольно-счетного органа района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64DED" w:rsidRPr="00064DED" w:rsidRDefault="00064DED" w:rsidP="005A68D5">
      <w:pPr>
        <w:shd w:val="clear" w:color="auto" w:fill="FFFFFF"/>
        <w:ind w:left="900" w:hanging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 Контрольно-счетный орган района: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4.2.1) включает в планы своей работы: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DED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4.2.5) имеет право проводить контрольные и экспертно-аналитические мероприяти</w:t>
      </w:r>
      <w:r w:rsidR="00697F3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4.2.6) направляет отчеты и заключения по результатам проведенных мероприяти</w:t>
      </w:r>
      <w:r w:rsidR="00697F3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4.2.7) размещает информацию о проведенных мероприятиях на своем официальном сайте в сети «Интернет»;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4.2.11) 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 Представительный орган поселения: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своих обязательств.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 Ответственность сторон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 Заключительные положения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6.1. Настоящее Соглашение вступает в силу с момента его подписания всеми Сторонами.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CF133E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3C3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6DA5" w:rsidRPr="00CF133E" w:rsidRDefault="00326DA5" w:rsidP="00CF133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3E" w:rsidRPr="00CF133E" w:rsidRDefault="00CF133E" w:rsidP="00CF13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B81351" w:rsidRPr="00CF133E" w:rsidTr="00157E3B">
        <w:tc>
          <w:tcPr>
            <w:tcW w:w="4927" w:type="dxa"/>
          </w:tcPr>
          <w:p w:rsid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Лодейнопольского муниципального района Ленинградской области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100" w:rsidRPr="00CF133E" w:rsidRDefault="00254100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С.А.Баранов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      </w:t>
            </w:r>
            <w:bookmarkStart w:id="2" w:name="_GoBack"/>
            <w:bookmarkEnd w:id="2"/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6F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Лодейнопольского муниципального района Ленинградской области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B8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8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8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Стукалова</w:t>
            </w:r>
            <w:proofErr w:type="spellEnd"/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2021г.</w:t>
            </w: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351" w:rsidRPr="00CF133E" w:rsidTr="00157E3B">
        <w:tc>
          <w:tcPr>
            <w:tcW w:w="4927" w:type="dxa"/>
          </w:tcPr>
          <w:p w:rsidR="00254100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комиссии Лодейнопольско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254100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Т.В.Тарасова</w:t>
            </w:r>
            <w:proofErr w:type="spellEnd"/>
          </w:p>
          <w:p w:rsidR="00254100" w:rsidRPr="00CF133E" w:rsidRDefault="00254100" w:rsidP="00326DA5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«___»___________2021 г.</w:t>
            </w:r>
          </w:p>
        </w:tc>
        <w:tc>
          <w:tcPr>
            <w:tcW w:w="4927" w:type="dxa"/>
          </w:tcPr>
          <w:p w:rsidR="00CF133E" w:rsidRP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33E" w:rsidRPr="00CF133E" w:rsidRDefault="00CF133E" w:rsidP="00CF133E">
      <w:pPr>
        <w:rPr>
          <w:rFonts w:ascii="Times New Roman" w:hAnsi="Times New Roman" w:cs="Times New Roman"/>
          <w:sz w:val="24"/>
          <w:szCs w:val="24"/>
        </w:rPr>
      </w:pPr>
    </w:p>
    <w:sectPr w:rsidR="00CF133E" w:rsidRPr="00CF133E" w:rsidSect="00AA0A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26" w:rsidRDefault="00283926" w:rsidP="001A36E1">
      <w:pPr>
        <w:spacing w:after="0" w:line="240" w:lineRule="auto"/>
      </w:pPr>
      <w:r>
        <w:separator/>
      </w:r>
    </w:p>
  </w:endnote>
  <w:endnote w:type="continuationSeparator" w:id="0">
    <w:p w:rsidR="00283926" w:rsidRDefault="00283926" w:rsidP="001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26" w:rsidRDefault="00283926" w:rsidP="001A36E1">
      <w:pPr>
        <w:spacing w:after="0" w:line="240" w:lineRule="auto"/>
      </w:pPr>
      <w:r>
        <w:separator/>
      </w:r>
    </w:p>
  </w:footnote>
  <w:footnote w:type="continuationSeparator" w:id="0">
    <w:p w:rsidR="00283926" w:rsidRDefault="00283926" w:rsidP="001A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93"/>
    <w:rsid w:val="00006B21"/>
    <w:rsid w:val="00006EF0"/>
    <w:rsid w:val="00011BAA"/>
    <w:rsid w:val="0001242C"/>
    <w:rsid w:val="0001255F"/>
    <w:rsid w:val="000134BB"/>
    <w:rsid w:val="00017A47"/>
    <w:rsid w:val="00021A68"/>
    <w:rsid w:val="00031304"/>
    <w:rsid w:val="00042362"/>
    <w:rsid w:val="000456AD"/>
    <w:rsid w:val="0005071C"/>
    <w:rsid w:val="00055915"/>
    <w:rsid w:val="00057234"/>
    <w:rsid w:val="00064DED"/>
    <w:rsid w:val="0006554F"/>
    <w:rsid w:val="00071F88"/>
    <w:rsid w:val="00073D6F"/>
    <w:rsid w:val="00082BDC"/>
    <w:rsid w:val="0008528D"/>
    <w:rsid w:val="00086AD9"/>
    <w:rsid w:val="00096EB3"/>
    <w:rsid w:val="000A3046"/>
    <w:rsid w:val="000A4B3E"/>
    <w:rsid w:val="000B1DE4"/>
    <w:rsid w:val="000B4ECC"/>
    <w:rsid w:val="000C3436"/>
    <w:rsid w:val="000C5A3E"/>
    <w:rsid w:val="000C5F01"/>
    <w:rsid w:val="000C6EE1"/>
    <w:rsid w:val="000C7905"/>
    <w:rsid w:val="000E085C"/>
    <w:rsid w:val="000F1D3C"/>
    <w:rsid w:val="000F3A5C"/>
    <w:rsid w:val="000F571A"/>
    <w:rsid w:val="00101C33"/>
    <w:rsid w:val="00103F84"/>
    <w:rsid w:val="0010451C"/>
    <w:rsid w:val="00106435"/>
    <w:rsid w:val="001110CF"/>
    <w:rsid w:val="00114459"/>
    <w:rsid w:val="001213C7"/>
    <w:rsid w:val="001239C3"/>
    <w:rsid w:val="00125800"/>
    <w:rsid w:val="00127A61"/>
    <w:rsid w:val="00142103"/>
    <w:rsid w:val="0014597E"/>
    <w:rsid w:val="00161930"/>
    <w:rsid w:val="001658B9"/>
    <w:rsid w:val="001770FC"/>
    <w:rsid w:val="00180B4D"/>
    <w:rsid w:val="001825B8"/>
    <w:rsid w:val="001868D2"/>
    <w:rsid w:val="00191506"/>
    <w:rsid w:val="00191A6A"/>
    <w:rsid w:val="001A36E1"/>
    <w:rsid w:val="001A3D5B"/>
    <w:rsid w:val="001A4415"/>
    <w:rsid w:val="001A4FD1"/>
    <w:rsid w:val="001B16EA"/>
    <w:rsid w:val="001B2774"/>
    <w:rsid w:val="001C139D"/>
    <w:rsid w:val="001C49DF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2546"/>
    <w:rsid w:val="001F3F99"/>
    <w:rsid w:val="001F53F5"/>
    <w:rsid w:val="001F79C0"/>
    <w:rsid w:val="00202DA5"/>
    <w:rsid w:val="00212E2A"/>
    <w:rsid w:val="00217FAC"/>
    <w:rsid w:val="002247CB"/>
    <w:rsid w:val="0023286A"/>
    <w:rsid w:val="00234704"/>
    <w:rsid w:val="0023640F"/>
    <w:rsid w:val="0024110C"/>
    <w:rsid w:val="00244146"/>
    <w:rsid w:val="00245930"/>
    <w:rsid w:val="00250369"/>
    <w:rsid w:val="00254100"/>
    <w:rsid w:val="002711EB"/>
    <w:rsid w:val="00271201"/>
    <w:rsid w:val="00271B0B"/>
    <w:rsid w:val="0027213F"/>
    <w:rsid w:val="00272B5D"/>
    <w:rsid w:val="00282170"/>
    <w:rsid w:val="00283926"/>
    <w:rsid w:val="002850EC"/>
    <w:rsid w:val="002865D9"/>
    <w:rsid w:val="002875C2"/>
    <w:rsid w:val="0029615E"/>
    <w:rsid w:val="002965EA"/>
    <w:rsid w:val="002974A1"/>
    <w:rsid w:val="002A0341"/>
    <w:rsid w:val="002A3085"/>
    <w:rsid w:val="002B2CB6"/>
    <w:rsid w:val="002B65E3"/>
    <w:rsid w:val="002C668C"/>
    <w:rsid w:val="002C6E8A"/>
    <w:rsid w:val="002D079B"/>
    <w:rsid w:val="002D0970"/>
    <w:rsid w:val="002D0CCA"/>
    <w:rsid w:val="002D516F"/>
    <w:rsid w:val="002D6FDB"/>
    <w:rsid w:val="002E0E90"/>
    <w:rsid w:val="002F230F"/>
    <w:rsid w:val="002F7B69"/>
    <w:rsid w:val="00302890"/>
    <w:rsid w:val="00323C97"/>
    <w:rsid w:val="00326165"/>
    <w:rsid w:val="00326DA5"/>
    <w:rsid w:val="003368F7"/>
    <w:rsid w:val="00343900"/>
    <w:rsid w:val="00344325"/>
    <w:rsid w:val="00347738"/>
    <w:rsid w:val="00347CA3"/>
    <w:rsid w:val="0035298F"/>
    <w:rsid w:val="00354E24"/>
    <w:rsid w:val="0036175C"/>
    <w:rsid w:val="003651D6"/>
    <w:rsid w:val="00372671"/>
    <w:rsid w:val="00376EEC"/>
    <w:rsid w:val="0038023F"/>
    <w:rsid w:val="003802F2"/>
    <w:rsid w:val="00386010"/>
    <w:rsid w:val="003953B6"/>
    <w:rsid w:val="00397A31"/>
    <w:rsid w:val="003B486F"/>
    <w:rsid w:val="003C1C54"/>
    <w:rsid w:val="003C2AD5"/>
    <w:rsid w:val="003C3600"/>
    <w:rsid w:val="003C52DE"/>
    <w:rsid w:val="003C6654"/>
    <w:rsid w:val="003D538E"/>
    <w:rsid w:val="003D6139"/>
    <w:rsid w:val="003E5411"/>
    <w:rsid w:val="003F25C4"/>
    <w:rsid w:val="003F3E4F"/>
    <w:rsid w:val="003F4EC4"/>
    <w:rsid w:val="00406530"/>
    <w:rsid w:val="004120C6"/>
    <w:rsid w:val="00416825"/>
    <w:rsid w:val="004248C4"/>
    <w:rsid w:val="004428EB"/>
    <w:rsid w:val="00446366"/>
    <w:rsid w:val="00451440"/>
    <w:rsid w:val="00453AC1"/>
    <w:rsid w:val="004572EB"/>
    <w:rsid w:val="004579BF"/>
    <w:rsid w:val="0046092E"/>
    <w:rsid w:val="004613EF"/>
    <w:rsid w:val="004676D0"/>
    <w:rsid w:val="00473CDF"/>
    <w:rsid w:val="004773FE"/>
    <w:rsid w:val="00480EAB"/>
    <w:rsid w:val="0048321D"/>
    <w:rsid w:val="00487758"/>
    <w:rsid w:val="004968AA"/>
    <w:rsid w:val="004A222E"/>
    <w:rsid w:val="004A564A"/>
    <w:rsid w:val="004A789C"/>
    <w:rsid w:val="004B2B46"/>
    <w:rsid w:val="004C16ED"/>
    <w:rsid w:val="004C6BF7"/>
    <w:rsid w:val="004D3ED3"/>
    <w:rsid w:val="004D497C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17C59"/>
    <w:rsid w:val="005246DA"/>
    <w:rsid w:val="00527123"/>
    <w:rsid w:val="0055594F"/>
    <w:rsid w:val="005639F3"/>
    <w:rsid w:val="00566332"/>
    <w:rsid w:val="00572E9E"/>
    <w:rsid w:val="005741F3"/>
    <w:rsid w:val="005765E2"/>
    <w:rsid w:val="00581096"/>
    <w:rsid w:val="005860F2"/>
    <w:rsid w:val="0059038D"/>
    <w:rsid w:val="005922EB"/>
    <w:rsid w:val="005A08DB"/>
    <w:rsid w:val="005A4DDF"/>
    <w:rsid w:val="005A68D5"/>
    <w:rsid w:val="005B7C23"/>
    <w:rsid w:val="005C2C1B"/>
    <w:rsid w:val="005D0923"/>
    <w:rsid w:val="005D2011"/>
    <w:rsid w:val="005D3416"/>
    <w:rsid w:val="005D702E"/>
    <w:rsid w:val="005E48E6"/>
    <w:rsid w:val="00600AA3"/>
    <w:rsid w:val="00603DE2"/>
    <w:rsid w:val="00604178"/>
    <w:rsid w:val="00611789"/>
    <w:rsid w:val="006119CA"/>
    <w:rsid w:val="00620A4D"/>
    <w:rsid w:val="006230A5"/>
    <w:rsid w:val="00625E04"/>
    <w:rsid w:val="00630454"/>
    <w:rsid w:val="006318A2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74039"/>
    <w:rsid w:val="00683126"/>
    <w:rsid w:val="0068363C"/>
    <w:rsid w:val="00683A3D"/>
    <w:rsid w:val="00684757"/>
    <w:rsid w:val="006848D8"/>
    <w:rsid w:val="0069553F"/>
    <w:rsid w:val="006960B7"/>
    <w:rsid w:val="00697F3D"/>
    <w:rsid w:val="006A0304"/>
    <w:rsid w:val="006A156E"/>
    <w:rsid w:val="006A3170"/>
    <w:rsid w:val="006C260E"/>
    <w:rsid w:val="006C6042"/>
    <w:rsid w:val="006D0CB6"/>
    <w:rsid w:val="006D0E5E"/>
    <w:rsid w:val="006D41FE"/>
    <w:rsid w:val="006D43C7"/>
    <w:rsid w:val="006D6FE8"/>
    <w:rsid w:val="006E209A"/>
    <w:rsid w:val="006E21FC"/>
    <w:rsid w:val="006F148C"/>
    <w:rsid w:val="006F40CB"/>
    <w:rsid w:val="006F6017"/>
    <w:rsid w:val="00703979"/>
    <w:rsid w:val="00704C82"/>
    <w:rsid w:val="00711E3A"/>
    <w:rsid w:val="00712F42"/>
    <w:rsid w:val="00721D86"/>
    <w:rsid w:val="00723136"/>
    <w:rsid w:val="00723F75"/>
    <w:rsid w:val="00733F9A"/>
    <w:rsid w:val="00735C21"/>
    <w:rsid w:val="00736F55"/>
    <w:rsid w:val="0073723C"/>
    <w:rsid w:val="00740C9B"/>
    <w:rsid w:val="007445EB"/>
    <w:rsid w:val="007458DB"/>
    <w:rsid w:val="007515BF"/>
    <w:rsid w:val="00771C0C"/>
    <w:rsid w:val="0079245F"/>
    <w:rsid w:val="00796694"/>
    <w:rsid w:val="007A2DB1"/>
    <w:rsid w:val="007A75E2"/>
    <w:rsid w:val="007C09BB"/>
    <w:rsid w:val="007C22E1"/>
    <w:rsid w:val="007D2493"/>
    <w:rsid w:val="007D5E8D"/>
    <w:rsid w:val="007E4022"/>
    <w:rsid w:val="00801611"/>
    <w:rsid w:val="00801806"/>
    <w:rsid w:val="008023BD"/>
    <w:rsid w:val="008064C1"/>
    <w:rsid w:val="00811D9E"/>
    <w:rsid w:val="0081212A"/>
    <w:rsid w:val="00814932"/>
    <w:rsid w:val="00831C02"/>
    <w:rsid w:val="00832296"/>
    <w:rsid w:val="0083704D"/>
    <w:rsid w:val="008403DB"/>
    <w:rsid w:val="0085220E"/>
    <w:rsid w:val="008524C5"/>
    <w:rsid w:val="008535F8"/>
    <w:rsid w:val="00855D56"/>
    <w:rsid w:val="00867594"/>
    <w:rsid w:val="00876988"/>
    <w:rsid w:val="00887464"/>
    <w:rsid w:val="00895351"/>
    <w:rsid w:val="008A3D4C"/>
    <w:rsid w:val="008A443E"/>
    <w:rsid w:val="008B07CC"/>
    <w:rsid w:val="008B146E"/>
    <w:rsid w:val="008B1C34"/>
    <w:rsid w:val="008C542E"/>
    <w:rsid w:val="008C5487"/>
    <w:rsid w:val="008D57FF"/>
    <w:rsid w:val="008E7D54"/>
    <w:rsid w:val="008F3EF2"/>
    <w:rsid w:val="008F592E"/>
    <w:rsid w:val="008F6C0A"/>
    <w:rsid w:val="00915E83"/>
    <w:rsid w:val="0095403D"/>
    <w:rsid w:val="00965D2E"/>
    <w:rsid w:val="00974F7F"/>
    <w:rsid w:val="00980140"/>
    <w:rsid w:val="00983812"/>
    <w:rsid w:val="0098619A"/>
    <w:rsid w:val="0099100D"/>
    <w:rsid w:val="009A2E06"/>
    <w:rsid w:val="009B4BC0"/>
    <w:rsid w:val="009C014A"/>
    <w:rsid w:val="009C3424"/>
    <w:rsid w:val="009C3F97"/>
    <w:rsid w:val="009D260C"/>
    <w:rsid w:val="009E4E3D"/>
    <w:rsid w:val="009E57CE"/>
    <w:rsid w:val="009F281F"/>
    <w:rsid w:val="009F5EA3"/>
    <w:rsid w:val="00A002CA"/>
    <w:rsid w:val="00A045C5"/>
    <w:rsid w:val="00A15732"/>
    <w:rsid w:val="00A27593"/>
    <w:rsid w:val="00A327CB"/>
    <w:rsid w:val="00A3666F"/>
    <w:rsid w:val="00A37B15"/>
    <w:rsid w:val="00A5209F"/>
    <w:rsid w:val="00A631B2"/>
    <w:rsid w:val="00A6388D"/>
    <w:rsid w:val="00A6471C"/>
    <w:rsid w:val="00A722CE"/>
    <w:rsid w:val="00A746F4"/>
    <w:rsid w:val="00A75E76"/>
    <w:rsid w:val="00A94C5F"/>
    <w:rsid w:val="00A96E79"/>
    <w:rsid w:val="00AA0A40"/>
    <w:rsid w:val="00AB6F3D"/>
    <w:rsid w:val="00AB7832"/>
    <w:rsid w:val="00AE18D4"/>
    <w:rsid w:val="00AE259D"/>
    <w:rsid w:val="00AE555C"/>
    <w:rsid w:val="00AF30A9"/>
    <w:rsid w:val="00AF3B58"/>
    <w:rsid w:val="00AF3CB8"/>
    <w:rsid w:val="00AF45C8"/>
    <w:rsid w:val="00B02B83"/>
    <w:rsid w:val="00B03D7C"/>
    <w:rsid w:val="00B202A3"/>
    <w:rsid w:val="00B21867"/>
    <w:rsid w:val="00B239E7"/>
    <w:rsid w:val="00B24570"/>
    <w:rsid w:val="00B24C68"/>
    <w:rsid w:val="00B27A16"/>
    <w:rsid w:val="00B31C4C"/>
    <w:rsid w:val="00B363B9"/>
    <w:rsid w:val="00B36CF9"/>
    <w:rsid w:val="00B43BAF"/>
    <w:rsid w:val="00B44F35"/>
    <w:rsid w:val="00B56933"/>
    <w:rsid w:val="00B605EB"/>
    <w:rsid w:val="00B67DE8"/>
    <w:rsid w:val="00B7155E"/>
    <w:rsid w:val="00B737A8"/>
    <w:rsid w:val="00B74446"/>
    <w:rsid w:val="00B74553"/>
    <w:rsid w:val="00B75BC2"/>
    <w:rsid w:val="00B81351"/>
    <w:rsid w:val="00B8629C"/>
    <w:rsid w:val="00B93347"/>
    <w:rsid w:val="00B953BE"/>
    <w:rsid w:val="00BA5DA4"/>
    <w:rsid w:val="00BC23BE"/>
    <w:rsid w:val="00BC335D"/>
    <w:rsid w:val="00BD47F5"/>
    <w:rsid w:val="00BD57A6"/>
    <w:rsid w:val="00BE0D0D"/>
    <w:rsid w:val="00BE4E72"/>
    <w:rsid w:val="00BE56D5"/>
    <w:rsid w:val="00BF25CB"/>
    <w:rsid w:val="00BF5291"/>
    <w:rsid w:val="00C028F7"/>
    <w:rsid w:val="00C07424"/>
    <w:rsid w:val="00C212A4"/>
    <w:rsid w:val="00C2443E"/>
    <w:rsid w:val="00C373FB"/>
    <w:rsid w:val="00C65FA9"/>
    <w:rsid w:val="00C74F54"/>
    <w:rsid w:val="00C76526"/>
    <w:rsid w:val="00C80BB6"/>
    <w:rsid w:val="00C87501"/>
    <w:rsid w:val="00C9336B"/>
    <w:rsid w:val="00C95B77"/>
    <w:rsid w:val="00CB01B1"/>
    <w:rsid w:val="00CB1B2D"/>
    <w:rsid w:val="00CB1FD0"/>
    <w:rsid w:val="00CB23E3"/>
    <w:rsid w:val="00CC625C"/>
    <w:rsid w:val="00CD6B70"/>
    <w:rsid w:val="00CD6B8F"/>
    <w:rsid w:val="00CD7533"/>
    <w:rsid w:val="00CE35DA"/>
    <w:rsid w:val="00CE3AAB"/>
    <w:rsid w:val="00CE443A"/>
    <w:rsid w:val="00CE48E4"/>
    <w:rsid w:val="00CE7808"/>
    <w:rsid w:val="00CF133E"/>
    <w:rsid w:val="00CF32BA"/>
    <w:rsid w:val="00CF6A08"/>
    <w:rsid w:val="00D01DD8"/>
    <w:rsid w:val="00D074F7"/>
    <w:rsid w:val="00D1335B"/>
    <w:rsid w:val="00D1551A"/>
    <w:rsid w:val="00D15B81"/>
    <w:rsid w:val="00D364C3"/>
    <w:rsid w:val="00D37235"/>
    <w:rsid w:val="00D402F6"/>
    <w:rsid w:val="00D4233D"/>
    <w:rsid w:val="00D4587F"/>
    <w:rsid w:val="00D45FA2"/>
    <w:rsid w:val="00D513F9"/>
    <w:rsid w:val="00D52DED"/>
    <w:rsid w:val="00D61DCB"/>
    <w:rsid w:val="00D71CC1"/>
    <w:rsid w:val="00D74541"/>
    <w:rsid w:val="00D80F77"/>
    <w:rsid w:val="00D81E0A"/>
    <w:rsid w:val="00D86D19"/>
    <w:rsid w:val="00D9047A"/>
    <w:rsid w:val="00D938C7"/>
    <w:rsid w:val="00D96570"/>
    <w:rsid w:val="00DA2C12"/>
    <w:rsid w:val="00DA3D2D"/>
    <w:rsid w:val="00DA5275"/>
    <w:rsid w:val="00DB12EA"/>
    <w:rsid w:val="00DB376E"/>
    <w:rsid w:val="00DB641A"/>
    <w:rsid w:val="00DB77FC"/>
    <w:rsid w:val="00DC2D9B"/>
    <w:rsid w:val="00DC3FF7"/>
    <w:rsid w:val="00DC421C"/>
    <w:rsid w:val="00DD0693"/>
    <w:rsid w:val="00DE0910"/>
    <w:rsid w:val="00DE2257"/>
    <w:rsid w:val="00DF3181"/>
    <w:rsid w:val="00DF4F8C"/>
    <w:rsid w:val="00DF5840"/>
    <w:rsid w:val="00E004A5"/>
    <w:rsid w:val="00E018DE"/>
    <w:rsid w:val="00E02458"/>
    <w:rsid w:val="00E0288F"/>
    <w:rsid w:val="00E044D1"/>
    <w:rsid w:val="00E045CB"/>
    <w:rsid w:val="00E2686A"/>
    <w:rsid w:val="00E60FA1"/>
    <w:rsid w:val="00E7540C"/>
    <w:rsid w:val="00E80CCA"/>
    <w:rsid w:val="00E8111B"/>
    <w:rsid w:val="00E81532"/>
    <w:rsid w:val="00E91101"/>
    <w:rsid w:val="00E92BD7"/>
    <w:rsid w:val="00E969D1"/>
    <w:rsid w:val="00EB755A"/>
    <w:rsid w:val="00EC077A"/>
    <w:rsid w:val="00EC12FB"/>
    <w:rsid w:val="00ED3815"/>
    <w:rsid w:val="00ED771A"/>
    <w:rsid w:val="00EE53EA"/>
    <w:rsid w:val="00EF3530"/>
    <w:rsid w:val="00EF4CE1"/>
    <w:rsid w:val="00F049AB"/>
    <w:rsid w:val="00F0509C"/>
    <w:rsid w:val="00F05775"/>
    <w:rsid w:val="00F068AC"/>
    <w:rsid w:val="00F10F8A"/>
    <w:rsid w:val="00F11628"/>
    <w:rsid w:val="00F16644"/>
    <w:rsid w:val="00F209F4"/>
    <w:rsid w:val="00F226A9"/>
    <w:rsid w:val="00F24B08"/>
    <w:rsid w:val="00F2771E"/>
    <w:rsid w:val="00F3301E"/>
    <w:rsid w:val="00F33B96"/>
    <w:rsid w:val="00F33FF1"/>
    <w:rsid w:val="00F56657"/>
    <w:rsid w:val="00F669DE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A53F3"/>
    <w:rsid w:val="00FB4F97"/>
    <w:rsid w:val="00FB61CD"/>
    <w:rsid w:val="00FC0E4C"/>
    <w:rsid w:val="00FD36E1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6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6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ind">
    <w:name w:val="ind"/>
    <w:basedOn w:val="a"/>
    <w:rsid w:val="004A564A"/>
    <w:pPr>
      <w:spacing w:before="90" w:after="60" w:line="240" w:lineRule="auto"/>
      <w:ind w:left="227" w:righ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3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A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A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A3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12</cp:revision>
  <cp:lastPrinted>2021-12-10T12:16:00Z</cp:lastPrinted>
  <dcterms:created xsi:type="dcterms:W3CDTF">2021-11-18T14:31:00Z</dcterms:created>
  <dcterms:modified xsi:type="dcterms:W3CDTF">2021-12-10T12:16:00Z</dcterms:modified>
</cp:coreProperties>
</file>